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FC1AF" w14:textId="7B4B90B0" w:rsidR="00D7359A" w:rsidRDefault="00D7359A" w:rsidP="00D7359A">
      <w:pPr>
        <w:spacing w:after="0" w:line="317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7"/>
          <w:szCs w:val="37"/>
          <w:bdr w:val="none" w:sz="0" w:space="0" w:color="auto" w:frame="1"/>
        </w:rPr>
      </w:pPr>
      <w:r>
        <w:fldChar w:fldCharType="begin"/>
      </w:r>
      <w:r>
        <w:instrText xml:space="preserve"> HYPERLINK "https://www.oxfordmusiconline.com/grovemusic/view/10.1093/gmo/9781561592630.001.0001/omo-9781561592630-e-5000006393?rskey=okfqBQ" </w:instrText>
      </w:r>
      <w:r>
        <w:fldChar w:fldCharType="separate"/>
      </w:r>
      <w:r>
        <w:rPr>
          <w:rStyle w:val="Hyperlink"/>
        </w:rPr>
        <w:t>https://www.oxfordmusiconline.com/grovemusic/view/10.1093/gmo/9781561592630.001.0001/omo-9781561592630-e-5000006393?rskey=okfqBQ</w:t>
      </w:r>
      <w:r>
        <w:fldChar w:fldCharType="end"/>
      </w:r>
    </w:p>
    <w:p w14:paraId="1D1554C3" w14:textId="6ECDCF1F" w:rsidR="00D7359A" w:rsidRPr="00D7359A" w:rsidRDefault="00D7359A" w:rsidP="00D7359A">
      <w:pPr>
        <w:spacing w:after="0" w:line="317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7"/>
          <w:szCs w:val="37"/>
        </w:rPr>
      </w:pPr>
      <w:proofErr w:type="spellStart"/>
      <w:r w:rsidRPr="00D7359A">
        <w:rPr>
          <w:rFonts w:ascii="inherit" w:eastAsia="Times New Roman" w:hAnsi="inherit" w:cs="Times New Roman"/>
          <w:b/>
          <w:bCs/>
          <w:color w:val="000000"/>
          <w:kern w:val="36"/>
          <w:sz w:val="37"/>
          <w:szCs w:val="37"/>
          <w:bdr w:val="none" w:sz="0" w:space="0" w:color="auto" w:frame="1"/>
        </w:rPr>
        <w:t>Kvapil</w:t>
      </w:r>
      <w:proofErr w:type="spellEnd"/>
      <w:r w:rsidRPr="00D7359A">
        <w:rPr>
          <w:rFonts w:ascii="inherit" w:eastAsia="Times New Roman" w:hAnsi="inherit" w:cs="Times New Roman"/>
          <w:b/>
          <w:bCs/>
          <w:color w:val="000000"/>
          <w:kern w:val="36"/>
          <w:sz w:val="37"/>
          <w:szCs w:val="37"/>
          <w:bdr w:val="none" w:sz="0" w:space="0" w:color="auto" w:frame="1"/>
        </w:rPr>
        <w:t>, Jaroslav(</w:t>
      </w:r>
      <w:proofErr w:type="spellStart"/>
      <w:r w:rsidRPr="00D7359A">
        <w:rPr>
          <w:rFonts w:ascii="inherit" w:eastAsia="Times New Roman" w:hAnsi="inherit" w:cs="Times New Roman"/>
          <w:b/>
          <w:bCs/>
          <w:color w:val="000000"/>
          <w:kern w:val="36"/>
          <w:sz w:val="37"/>
          <w:szCs w:val="37"/>
          <w:bdr w:val="none" w:sz="0" w:space="0" w:color="auto" w:frame="1"/>
        </w:rPr>
        <w:t>i</w:t>
      </w:r>
      <w:proofErr w:type="spellEnd"/>
      <w:r w:rsidRPr="00D7359A">
        <w:rPr>
          <w:rFonts w:ascii="inherit" w:eastAsia="Times New Roman" w:hAnsi="inherit" w:cs="Times New Roman"/>
          <w:b/>
          <w:bCs/>
          <w:color w:val="000000"/>
          <w:kern w:val="36"/>
          <w:sz w:val="37"/>
          <w:szCs w:val="37"/>
          <w:bdr w:val="none" w:sz="0" w:space="0" w:color="auto" w:frame="1"/>
        </w:rPr>
        <w:t>)</w:t>
      </w:r>
      <w:r w:rsidRPr="00D7359A">
        <w:rPr>
          <w:rFonts w:ascii="inherit" w:eastAsia="Times New Roman" w:hAnsi="inherit" w:cs="Times New Roman"/>
          <w:b/>
          <w:bCs/>
          <w:noProof/>
          <w:color w:val="000000"/>
          <w:kern w:val="36"/>
          <w:sz w:val="37"/>
          <w:szCs w:val="37"/>
        </w:rPr>
        <mc:AlternateContent>
          <mc:Choice Requires="wps">
            <w:drawing>
              <wp:inline distT="0" distB="0" distL="0" distR="0" wp14:anchorId="1C6DC92D" wp14:editId="3ACB91F3">
                <wp:extent cx="301625" cy="301625"/>
                <wp:effectExtent l="0" t="0" r="0" b="0"/>
                <wp:docPr id="1" name="AutoShape 1" descr="unlock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595133" id="AutoShape 1" o:spid="_x0000_s1026" alt="unlocked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14:paraId="56617077" w14:textId="77777777" w:rsidR="00D7359A" w:rsidRPr="00D7359A" w:rsidRDefault="00D7359A" w:rsidP="00D7359A">
      <w:pPr>
        <w:numPr>
          <w:ilvl w:val="0"/>
          <w:numId w:val="1"/>
        </w:numPr>
        <w:spacing w:line="360" w:lineRule="atLeast"/>
        <w:ind w:left="0"/>
        <w:textAlignment w:val="baseline"/>
        <w:rPr>
          <w:rFonts w:ascii="Arial" w:eastAsia="Times New Roman" w:hAnsi="Arial" w:cs="Arial"/>
          <w:color w:val="2A2A2A"/>
          <w:sz w:val="26"/>
          <w:szCs w:val="26"/>
        </w:rPr>
      </w:pPr>
      <w:r w:rsidRPr="00D7359A">
        <w:rPr>
          <w:rFonts w:ascii="Arial" w:eastAsia="Times New Roman" w:hAnsi="Arial" w:cs="Arial"/>
          <w:color w:val="2A2A2A"/>
          <w:sz w:val="26"/>
          <w:szCs w:val="26"/>
        </w:rPr>
        <w:t>John Tyrrell</w:t>
      </w:r>
    </w:p>
    <w:p w14:paraId="732464D6" w14:textId="77777777" w:rsidR="00D7359A" w:rsidRPr="00D7359A" w:rsidRDefault="00AE3147" w:rsidP="00D7359A">
      <w:pPr>
        <w:numPr>
          <w:ilvl w:val="0"/>
          <w:numId w:val="2"/>
        </w:numPr>
        <w:spacing w:after="0" w:line="240" w:lineRule="auto"/>
        <w:ind w:left="0" w:right="240"/>
        <w:textAlignment w:val="baseline"/>
        <w:rPr>
          <w:rFonts w:ascii="inherit" w:eastAsia="Times New Roman" w:hAnsi="inherit" w:cs="Arial"/>
          <w:color w:val="2A2A2A"/>
          <w:sz w:val="26"/>
          <w:szCs w:val="26"/>
        </w:rPr>
      </w:pPr>
      <w:hyperlink r:id="rId5" w:history="1">
        <w:r w:rsidR="00D7359A" w:rsidRPr="00D7359A">
          <w:rPr>
            <w:rFonts w:ascii="inherit" w:eastAsia="Times New Roman" w:hAnsi="inherit" w:cs="Arial"/>
            <w:color w:val="693A9D"/>
            <w:sz w:val="26"/>
            <w:szCs w:val="26"/>
            <w:u w:val="single"/>
            <w:bdr w:val="none" w:sz="0" w:space="0" w:color="auto" w:frame="1"/>
          </w:rPr>
          <w:t>https://doi.org/10.1093/gmo/9781561592630.article.O006393</w:t>
        </w:r>
      </w:hyperlink>
    </w:p>
    <w:p w14:paraId="563D5D40" w14:textId="77777777" w:rsidR="00D7359A" w:rsidRPr="00D7359A" w:rsidRDefault="00D7359A" w:rsidP="00D7359A">
      <w:pPr>
        <w:numPr>
          <w:ilvl w:val="0"/>
          <w:numId w:val="2"/>
        </w:numPr>
        <w:spacing w:after="0" w:line="240" w:lineRule="auto"/>
        <w:ind w:left="0" w:right="240"/>
        <w:textAlignment w:val="baseline"/>
        <w:rPr>
          <w:rFonts w:ascii="inherit" w:eastAsia="Times New Roman" w:hAnsi="inherit" w:cs="Arial"/>
          <w:color w:val="2A2A2A"/>
          <w:sz w:val="26"/>
          <w:szCs w:val="26"/>
        </w:rPr>
      </w:pPr>
      <w:r w:rsidRPr="00D7359A">
        <w:rPr>
          <w:rFonts w:ascii="inherit" w:eastAsia="Times New Roman" w:hAnsi="inherit" w:cs="Arial"/>
          <w:b/>
          <w:bCs/>
          <w:color w:val="2A2A2A"/>
          <w:sz w:val="26"/>
          <w:szCs w:val="26"/>
          <w:bdr w:val="none" w:sz="0" w:space="0" w:color="auto" w:frame="1"/>
        </w:rPr>
        <w:t>Published in print: </w:t>
      </w:r>
      <w:r w:rsidRPr="00D7359A">
        <w:rPr>
          <w:rFonts w:ascii="inherit" w:eastAsia="Times New Roman" w:hAnsi="inherit" w:cs="Arial"/>
          <w:color w:val="2A2A2A"/>
          <w:sz w:val="26"/>
          <w:szCs w:val="26"/>
        </w:rPr>
        <w:t>01 December 1992</w:t>
      </w:r>
    </w:p>
    <w:p w14:paraId="0B2F55AB" w14:textId="77777777" w:rsidR="00D7359A" w:rsidRPr="00D7359A" w:rsidRDefault="00D7359A" w:rsidP="00D7359A">
      <w:pPr>
        <w:numPr>
          <w:ilvl w:val="0"/>
          <w:numId w:val="2"/>
        </w:numPr>
        <w:spacing w:after="0" w:line="240" w:lineRule="auto"/>
        <w:ind w:left="0" w:right="240"/>
        <w:textAlignment w:val="baseline"/>
        <w:rPr>
          <w:rFonts w:ascii="inherit" w:eastAsia="Times New Roman" w:hAnsi="inherit" w:cs="Arial"/>
          <w:color w:val="2A2A2A"/>
          <w:sz w:val="26"/>
          <w:szCs w:val="26"/>
        </w:rPr>
      </w:pPr>
      <w:r w:rsidRPr="00D7359A">
        <w:rPr>
          <w:rFonts w:ascii="inherit" w:eastAsia="Times New Roman" w:hAnsi="inherit" w:cs="Arial"/>
          <w:b/>
          <w:bCs/>
          <w:color w:val="2A2A2A"/>
          <w:sz w:val="26"/>
          <w:szCs w:val="26"/>
          <w:bdr w:val="none" w:sz="0" w:space="0" w:color="auto" w:frame="1"/>
        </w:rPr>
        <w:t>Published online: </w:t>
      </w:r>
      <w:r w:rsidRPr="00D7359A">
        <w:rPr>
          <w:rFonts w:ascii="inherit" w:eastAsia="Times New Roman" w:hAnsi="inherit" w:cs="Arial"/>
          <w:color w:val="2A2A2A"/>
          <w:sz w:val="26"/>
          <w:szCs w:val="26"/>
        </w:rPr>
        <w:t>2002</w:t>
      </w:r>
    </w:p>
    <w:p w14:paraId="31F62670" w14:textId="77777777" w:rsidR="00D7359A" w:rsidRPr="00D7359A" w:rsidRDefault="00D7359A" w:rsidP="00D7359A">
      <w:pPr>
        <w:numPr>
          <w:ilvl w:val="0"/>
          <w:numId w:val="2"/>
        </w:numPr>
        <w:spacing w:line="240" w:lineRule="auto"/>
        <w:ind w:left="0" w:right="240"/>
        <w:textAlignment w:val="baseline"/>
        <w:rPr>
          <w:rFonts w:ascii="inherit" w:eastAsia="Times New Roman" w:hAnsi="inherit" w:cs="Arial"/>
          <w:color w:val="2A2A2A"/>
          <w:sz w:val="26"/>
          <w:szCs w:val="26"/>
        </w:rPr>
      </w:pPr>
    </w:p>
    <w:p w14:paraId="4B2D5BB2" w14:textId="695C0474" w:rsidR="00D7359A" w:rsidRPr="00D7359A" w:rsidRDefault="00D7359A" w:rsidP="00D7359A">
      <w:pPr>
        <w:spacing w:line="240" w:lineRule="auto"/>
        <w:textAlignment w:val="baseline"/>
        <w:rPr>
          <w:rFonts w:ascii="Lucida Bright" w:eastAsia="Times New Roman" w:hAnsi="Lucida Bright" w:cs="Times New Roman"/>
          <w:color w:val="2A2A2A"/>
          <w:sz w:val="24"/>
          <w:szCs w:val="24"/>
        </w:rPr>
      </w:pPr>
      <w:r w:rsidRPr="00D7359A">
        <w:rPr>
          <w:rFonts w:ascii="Lucida Bright" w:eastAsia="Times New Roman" w:hAnsi="Lucida Bright" w:cs="Times New Roman"/>
          <w:color w:val="2A2A2A"/>
          <w:sz w:val="24"/>
          <w:szCs w:val="24"/>
          <w:bdr w:val="none" w:sz="0" w:space="0" w:color="auto" w:frame="1"/>
        </w:rPr>
        <w:t>(</w:t>
      </w:r>
      <w:r w:rsidRPr="00D7359A">
        <w:rPr>
          <w:rFonts w:ascii="inherit" w:eastAsia="Times New Roman" w:hAnsi="inherit" w:cs="Times New Roman"/>
          <w:i/>
          <w:iCs/>
          <w:color w:val="2A2A2A"/>
          <w:sz w:val="24"/>
          <w:szCs w:val="24"/>
          <w:bdr w:val="none" w:sz="0" w:space="0" w:color="auto" w:frame="1"/>
        </w:rPr>
        <w:t>b</w:t>
      </w:r>
      <w:r w:rsidRPr="00D7359A">
        <w:rPr>
          <w:rFonts w:ascii="Lucida Bright" w:eastAsia="Times New Roman" w:hAnsi="Lucida Bright" w:cs="Times New Roman"/>
          <w:color w:val="2A2A2A"/>
          <w:sz w:val="24"/>
          <w:szCs w:val="24"/>
          <w:bdr w:val="none" w:sz="0" w:space="0" w:color="auto" w:frame="1"/>
        </w:rPr>
        <w:t> </w:t>
      </w:r>
      <w:proofErr w:type="spellStart"/>
      <w:r w:rsidRPr="00D7359A">
        <w:rPr>
          <w:rFonts w:ascii="Lucida Bright" w:eastAsia="Times New Roman" w:hAnsi="Lucida Bright" w:cs="Times New Roman"/>
          <w:color w:val="2A2A2A"/>
          <w:sz w:val="24"/>
          <w:szCs w:val="24"/>
          <w:bdr w:val="none" w:sz="0" w:space="0" w:color="auto" w:frame="1"/>
        </w:rPr>
        <w:t>Chudenice</w:t>
      </w:r>
      <w:proofErr w:type="spellEnd"/>
      <w:r w:rsidRPr="00D7359A">
        <w:rPr>
          <w:rFonts w:ascii="Lucida Bright" w:eastAsia="Times New Roman" w:hAnsi="Lucida Bright" w:cs="Times New Roman"/>
          <w:color w:val="2A2A2A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D7359A">
        <w:rPr>
          <w:rFonts w:ascii="Lucida Bright" w:eastAsia="Times New Roman" w:hAnsi="Lucida Bright" w:cs="Times New Roman"/>
          <w:color w:val="2A2A2A"/>
          <w:sz w:val="24"/>
          <w:szCs w:val="24"/>
          <w:bdr w:val="none" w:sz="0" w:space="0" w:color="auto" w:frame="1"/>
        </w:rPr>
        <w:t>Klatov</w:t>
      </w:r>
      <w:proofErr w:type="spellEnd"/>
      <w:r w:rsidRPr="00D7359A">
        <w:rPr>
          <w:rFonts w:ascii="Lucida Bright" w:eastAsia="Times New Roman" w:hAnsi="Lucida Bright" w:cs="Times New Roman"/>
          <w:color w:val="2A2A2A"/>
          <w:sz w:val="24"/>
          <w:szCs w:val="24"/>
          <w:bdr w:val="none" w:sz="0" w:space="0" w:color="auto" w:frame="1"/>
        </w:rPr>
        <w:t>, Bohemia, Sept 25, 1868; </w:t>
      </w:r>
      <w:r w:rsidRPr="00D7359A">
        <w:rPr>
          <w:rFonts w:ascii="inherit" w:eastAsia="Times New Roman" w:hAnsi="inherit" w:cs="Times New Roman"/>
          <w:i/>
          <w:iCs/>
          <w:color w:val="2A2A2A"/>
          <w:sz w:val="24"/>
          <w:szCs w:val="24"/>
          <w:bdr w:val="none" w:sz="0" w:space="0" w:color="auto" w:frame="1"/>
        </w:rPr>
        <w:t>d</w:t>
      </w:r>
      <w:r w:rsidRPr="00D7359A">
        <w:rPr>
          <w:rFonts w:ascii="Lucida Bright" w:eastAsia="Times New Roman" w:hAnsi="Lucida Bright" w:cs="Times New Roman"/>
          <w:color w:val="2A2A2A"/>
          <w:sz w:val="24"/>
          <w:szCs w:val="24"/>
          <w:bdr w:val="none" w:sz="0" w:space="0" w:color="auto" w:frame="1"/>
        </w:rPr>
        <w:t> Prague, Jan 10, 1950). Czech poet, dramatist and librettist</w:t>
      </w:r>
      <w:r w:rsidRPr="00D7359A">
        <w:rPr>
          <w:rFonts w:ascii="Lucida Bright" w:eastAsia="Times New Roman" w:hAnsi="Lucida Bright" w:cs="Times New Roman"/>
          <w:color w:val="2A2A2A"/>
          <w:sz w:val="24"/>
          <w:szCs w:val="24"/>
        </w:rPr>
        <w:t>. From </w:t>
      </w:r>
      <w:r w:rsidRPr="00D7359A">
        <w:rPr>
          <w:rFonts w:ascii="Lucida Bright" w:eastAsia="Times New Roman" w:hAnsi="Lucida Bright" w:cs="Times New Roman"/>
          <w:color w:val="2A2A2A"/>
          <w:sz w:val="24"/>
          <w:szCs w:val="24"/>
          <w:bdr w:val="none" w:sz="0" w:space="0" w:color="auto" w:frame="1"/>
        </w:rPr>
        <w:t>1900</w:t>
      </w:r>
      <w:r w:rsidRPr="00D7359A">
        <w:rPr>
          <w:rFonts w:ascii="Lucida Bright" w:eastAsia="Times New Roman" w:hAnsi="Lucida Bright" w:cs="Times New Roman"/>
          <w:color w:val="2A2A2A"/>
          <w:sz w:val="24"/>
          <w:szCs w:val="24"/>
        </w:rPr>
        <w:t xml:space="preserve"> he was a director and Dramaturg at the Prague National Theatre, where he introduced plays by Chekhov, Ibsen and Gorky into the repertory. Later he was a director at the </w:t>
      </w:r>
      <w:proofErr w:type="spellStart"/>
      <w:r w:rsidRPr="00D7359A">
        <w:rPr>
          <w:rFonts w:ascii="Lucida Bright" w:eastAsia="Times New Roman" w:hAnsi="Lucida Bright" w:cs="Times New Roman"/>
          <w:color w:val="2A2A2A"/>
          <w:sz w:val="24"/>
          <w:szCs w:val="24"/>
        </w:rPr>
        <w:t>Vinohrady</w:t>
      </w:r>
      <w:proofErr w:type="spellEnd"/>
      <w:r w:rsidRPr="00D7359A">
        <w:rPr>
          <w:rFonts w:ascii="Lucida Bright" w:eastAsia="Times New Roman" w:hAnsi="Lucida Bright" w:cs="Times New Roman"/>
          <w:color w:val="2A2A2A"/>
          <w:sz w:val="24"/>
          <w:szCs w:val="24"/>
        </w:rPr>
        <w:t xml:space="preserve"> Theatre (</w:t>
      </w:r>
      <w:r w:rsidRPr="00D7359A">
        <w:rPr>
          <w:rFonts w:ascii="Lucida Bright" w:eastAsia="Times New Roman" w:hAnsi="Lucida Bright" w:cs="Times New Roman"/>
          <w:color w:val="2A2A2A"/>
          <w:sz w:val="24"/>
          <w:szCs w:val="24"/>
          <w:bdr w:val="none" w:sz="0" w:space="0" w:color="auto" w:frame="1"/>
        </w:rPr>
        <w:t>1921–8</w:t>
      </w:r>
      <w:r w:rsidRPr="00D7359A">
        <w:rPr>
          <w:rFonts w:ascii="Lucida Bright" w:eastAsia="Times New Roman" w:hAnsi="Lucida Bright" w:cs="Times New Roman"/>
          <w:color w:val="2A2A2A"/>
          <w:sz w:val="24"/>
          <w:szCs w:val="24"/>
        </w:rPr>
        <w:t xml:space="preserve">). He wrote six plays, but is today chiefly remembered as the librettist of </w:t>
      </w:r>
      <w:proofErr w:type="spellStart"/>
      <w:r w:rsidRPr="00D7359A">
        <w:rPr>
          <w:rFonts w:ascii="Lucida Bright" w:eastAsia="Times New Roman" w:hAnsi="Lucida Bright" w:cs="Times New Roman"/>
          <w:color w:val="2A2A2A"/>
          <w:sz w:val="24"/>
          <w:szCs w:val="24"/>
        </w:rPr>
        <w:t>Dvo</w:t>
      </w:r>
      <w:r w:rsidRPr="00D7359A">
        <w:rPr>
          <w:rFonts w:ascii="Cambria" w:eastAsia="Times New Roman" w:hAnsi="Cambria" w:cs="Cambria"/>
          <w:color w:val="2A2A2A"/>
          <w:sz w:val="24"/>
          <w:szCs w:val="24"/>
        </w:rPr>
        <w:t>ř</w:t>
      </w:r>
      <w:r w:rsidRPr="00D7359A">
        <w:rPr>
          <w:rFonts w:ascii="Lucida Bright" w:eastAsia="Times New Roman" w:hAnsi="Lucida Bright" w:cs="Lucida Bright"/>
          <w:color w:val="2A2A2A"/>
          <w:sz w:val="24"/>
          <w:szCs w:val="24"/>
        </w:rPr>
        <w:t>á</w:t>
      </w:r>
      <w:r w:rsidRPr="00D7359A">
        <w:rPr>
          <w:rFonts w:ascii="Lucida Bright" w:eastAsia="Times New Roman" w:hAnsi="Lucida Bright" w:cs="Times New Roman"/>
          <w:color w:val="2A2A2A"/>
          <w:sz w:val="24"/>
          <w:szCs w:val="24"/>
        </w:rPr>
        <w:t>k</w:t>
      </w:r>
      <w:r w:rsidRPr="00D7359A">
        <w:rPr>
          <w:rFonts w:ascii="Lucida Bright" w:eastAsia="Times New Roman" w:hAnsi="Lucida Bright" w:cs="Lucida Bright"/>
          <w:color w:val="2A2A2A"/>
          <w:sz w:val="24"/>
          <w:szCs w:val="24"/>
        </w:rPr>
        <w:t>’</w:t>
      </w:r>
      <w:r w:rsidRPr="00D7359A">
        <w:rPr>
          <w:rFonts w:ascii="Lucida Bright" w:eastAsia="Times New Roman" w:hAnsi="Lucida Bright" w:cs="Times New Roman"/>
          <w:color w:val="2A2A2A"/>
          <w:sz w:val="24"/>
          <w:szCs w:val="24"/>
        </w:rPr>
        <w:t>s</w:t>
      </w:r>
      <w:proofErr w:type="spellEnd"/>
      <w:r w:rsidRPr="00D7359A">
        <w:rPr>
          <w:rFonts w:ascii="Lucida Bright" w:eastAsia="Times New Roman" w:hAnsi="Lucida Bright" w:cs="Times New Roman"/>
          <w:color w:val="2A2A2A"/>
          <w:sz w:val="24"/>
          <w:szCs w:val="24"/>
        </w:rPr>
        <w:t xml:space="preserve"> opera Rusalka (</w:t>
      </w:r>
      <w:r w:rsidRPr="00D7359A">
        <w:rPr>
          <w:rFonts w:ascii="inherit" w:eastAsia="Times New Roman" w:hAnsi="inherit" w:cs="Times New Roman"/>
          <w:i/>
          <w:iCs/>
          <w:color w:val="2A2A2A"/>
          <w:sz w:val="24"/>
          <w:szCs w:val="24"/>
          <w:bdr w:val="none" w:sz="0" w:space="0" w:color="auto" w:frame="1"/>
        </w:rPr>
        <w:t>see</w:t>
      </w:r>
      <w:r w:rsidR="00B60B3E">
        <w:rPr>
          <w:rFonts w:ascii="inherit" w:eastAsia="Times New Roman" w:hAnsi="inherit" w:cs="Times New Roman"/>
          <w:i/>
          <w:iCs/>
          <w:color w:val="2A2A2A"/>
          <w:sz w:val="24"/>
          <w:szCs w:val="24"/>
          <w:bdr w:val="none" w:sz="0" w:space="0" w:color="auto" w:frame="1"/>
        </w:rPr>
        <w:t xml:space="preserve"> </w:t>
      </w:r>
      <w:hyperlink r:id="rId6" w:history="1">
        <w:r w:rsidRPr="00D7359A">
          <w:rPr>
            <w:rFonts w:ascii="Lucida Bright" w:eastAsia="Times New Roman" w:hAnsi="Lucida Bright" w:cs="Times New Roman"/>
            <w:color w:val="693A9D"/>
            <w:sz w:val="24"/>
            <w:szCs w:val="24"/>
            <w:u w:val="single"/>
            <w:bdr w:val="none" w:sz="0" w:space="0" w:color="auto" w:frame="1"/>
          </w:rPr>
          <w:t>Rusalka</w:t>
        </w:r>
      </w:hyperlink>
      <w:r w:rsidRPr="00D7359A">
        <w:rPr>
          <w:rFonts w:ascii="Lucida Bright" w:eastAsia="Times New Roman" w:hAnsi="Lucida Bright" w:cs="Times New Roman"/>
          <w:color w:val="2A2A2A"/>
          <w:sz w:val="24"/>
          <w:szCs w:val="24"/>
        </w:rPr>
        <w:t>). Before then he adapted Mosenthal’s </w:t>
      </w:r>
      <w:r w:rsidRPr="00D7359A">
        <w:rPr>
          <w:rFonts w:ascii="inherit" w:eastAsia="Times New Roman" w:hAnsi="inherit" w:cs="Times New Roman"/>
          <w:i/>
          <w:iCs/>
          <w:color w:val="2A2A2A"/>
          <w:sz w:val="24"/>
          <w:szCs w:val="24"/>
          <w:bdr w:val="none" w:sz="0" w:space="0" w:color="auto" w:frame="1"/>
        </w:rPr>
        <w:t>Deborah</w:t>
      </w:r>
      <w:r w:rsidRPr="00D7359A">
        <w:rPr>
          <w:rFonts w:ascii="Lucida Bright" w:eastAsia="Times New Roman" w:hAnsi="Lucida Bright" w:cs="Times New Roman"/>
          <w:color w:val="2A2A2A"/>
          <w:sz w:val="24"/>
          <w:szCs w:val="24"/>
        </w:rPr>
        <w:t xml:space="preserve"> for his friend Foerster, and was to have undertaken a similar adaptation for him of </w:t>
      </w:r>
      <w:proofErr w:type="spellStart"/>
      <w:r w:rsidRPr="00D7359A">
        <w:rPr>
          <w:rFonts w:ascii="Lucida Bright" w:eastAsia="Times New Roman" w:hAnsi="Lucida Bright" w:cs="Times New Roman"/>
          <w:color w:val="2A2A2A"/>
          <w:sz w:val="24"/>
          <w:szCs w:val="24"/>
        </w:rPr>
        <w:t>Preissová’s</w:t>
      </w:r>
      <w:proofErr w:type="spellEnd"/>
      <w:r w:rsidRPr="00D7359A">
        <w:rPr>
          <w:rFonts w:ascii="Lucida Bright" w:eastAsia="Times New Roman" w:hAnsi="Lucida Bright" w:cs="Times New Roman"/>
          <w:color w:val="2A2A2A"/>
          <w:sz w:val="24"/>
          <w:szCs w:val="24"/>
        </w:rPr>
        <w:t> </w:t>
      </w:r>
      <w:proofErr w:type="spellStart"/>
      <w:r w:rsidRPr="00D7359A">
        <w:rPr>
          <w:rFonts w:ascii="inherit" w:eastAsia="Times New Roman" w:hAnsi="inherit" w:cs="Times New Roman"/>
          <w:i/>
          <w:iCs/>
          <w:color w:val="2A2A2A"/>
          <w:sz w:val="24"/>
          <w:szCs w:val="24"/>
          <w:bdr w:val="none" w:sz="0" w:space="0" w:color="auto" w:frame="1"/>
        </w:rPr>
        <w:t>Gazdina</w:t>
      </w:r>
      <w:proofErr w:type="spellEnd"/>
      <w:r w:rsidRPr="00D7359A">
        <w:rPr>
          <w:rFonts w:ascii="inherit" w:eastAsia="Times New Roman" w:hAnsi="inherit" w:cs="Times New Roman"/>
          <w:i/>
          <w:iCs/>
          <w:color w:val="2A2A2A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359A">
        <w:rPr>
          <w:rFonts w:ascii="inherit" w:eastAsia="Times New Roman" w:hAnsi="inherit" w:cs="Times New Roman"/>
          <w:i/>
          <w:iCs/>
          <w:color w:val="2A2A2A"/>
          <w:sz w:val="24"/>
          <w:szCs w:val="24"/>
          <w:bdr w:val="none" w:sz="0" w:space="0" w:color="auto" w:frame="1"/>
        </w:rPr>
        <w:t>roba</w:t>
      </w:r>
      <w:proofErr w:type="spellEnd"/>
      <w:r w:rsidRPr="00D7359A">
        <w:rPr>
          <w:rFonts w:ascii="Lucida Bright" w:eastAsia="Times New Roman" w:hAnsi="Lucida Bright" w:cs="Times New Roman"/>
          <w:color w:val="2A2A2A"/>
          <w:sz w:val="24"/>
          <w:szCs w:val="24"/>
        </w:rPr>
        <w:t> (‘The Farm Mistress’), work which in the end Foerster did himself (in </w:t>
      </w:r>
      <w:r w:rsidRPr="00D7359A">
        <w:rPr>
          <w:rFonts w:ascii="inherit" w:eastAsia="Times New Roman" w:hAnsi="inherit" w:cs="Times New Roman"/>
          <w:i/>
          <w:iCs/>
          <w:color w:val="2A2A2A"/>
          <w:sz w:val="24"/>
          <w:szCs w:val="24"/>
          <w:bdr w:val="none" w:sz="0" w:space="0" w:color="auto" w:frame="1"/>
        </w:rPr>
        <w:t>Eva</w:t>
      </w:r>
      <w:r w:rsidRPr="00D7359A">
        <w:rPr>
          <w:rFonts w:ascii="Lucida Bright" w:eastAsia="Times New Roman" w:hAnsi="Lucida Bright" w:cs="Times New Roman"/>
          <w:color w:val="2A2A2A"/>
          <w:sz w:val="24"/>
          <w:szCs w:val="24"/>
        </w:rPr>
        <w:t>).</w:t>
      </w:r>
    </w:p>
    <w:p w14:paraId="2623A0AB" w14:textId="4DE9DD1C" w:rsidR="002053C7" w:rsidRDefault="002053C7"/>
    <w:p w14:paraId="1FD45649" w14:textId="7A484995" w:rsidR="005F251A" w:rsidRDefault="005F251A">
      <w:r>
        <w:rPr>
          <w:noProof/>
        </w:rPr>
        <w:drawing>
          <wp:inline distT="0" distB="0" distL="0" distR="0" wp14:anchorId="423BD822" wp14:editId="186745BF">
            <wp:extent cx="2924175" cy="2247900"/>
            <wp:effectExtent l="0" t="0" r="9525" b="0"/>
            <wp:docPr id="2" name="Picture 2" descr="Show image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w image deta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2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E61C1"/>
    <w:multiLevelType w:val="multilevel"/>
    <w:tmpl w:val="C6DC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E2B07"/>
    <w:multiLevelType w:val="multilevel"/>
    <w:tmpl w:val="BD72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9A"/>
    <w:rsid w:val="002053C7"/>
    <w:rsid w:val="005F251A"/>
    <w:rsid w:val="00AE3147"/>
    <w:rsid w:val="00B60B3E"/>
    <w:rsid w:val="00D7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D5BF6"/>
  <w15:chartTrackingRefBased/>
  <w15:docId w15:val="{0145DEA1-7CC1-4B9A-A815-112C600B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3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561">
          <w:marLeft w:val="0"/>
          <w:marRight w:val="0"/>
          <w:marTop w:val="0"/>
          <w:marBottom w:val="6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9297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86221">
          <w:marLeft w:val="0"/>
          <w:marRight w:val="0"/>
          <w:marTop w:val="0"/>
          <w:marBottom w:val="6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xfordmusiconline.com/grovemusic/documentId/omo-9781561592630-e-5000904369" TargetMode="External"/><Relationship Id="rId5" Type="http://schemas.openxmlformats.org/officeDocument/2006/relationships/hyperlink" Target="https://doi.org/10.1093/gmo/9781561592630.article.O00639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dcterms:created xsi:type="dcterms:W3CDTF">2019-08-22T10:56:00Z</dcterms:created>
  <dcterms:modified xsi:type="dcterms:W3CDTF">2019-08-27T01:28:00Z</dcterms:modified>
</cp:coreProperties>
</file>